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Тульской городской Думы от 27.02.2013 N 58/1271</w:t>
              <w:br/>
              <w:t xml:space="preserve">(ред. от 27.03.2024)</w:t>
              <w:br/>
              <w:t xml:space="preserve">"О Положении "О Благодарности Тульской городской Думы"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ТУЛЬСКАЯ ГОРОДСКАЯ ДУМА</w:t>
      </w:r>
    </w:p>
    <w:p>
      <w:pPr>
        <w:pStyle w:val="2"/>
        <w:jc w:val="center"/>
      </w:pPr>
      <w:r>
        <w:rPr>
          <w:sz w:val="20"/>
        </w:rPr>
        <w:t xml:space="preserve">4-го созыва</w:t>
      </w:r>
    </w:p>
    <w:p>
      <w:pPr>
        <w:pStyle w:val="2"/>
        <w:jc w:val="center"/>
      </w:pPr>
      <w:r>
        <w:rPr>
          <w:sz w:val="20"/>
        </w:rPr>
        <w:t xml:space="preserve">58-е заседание</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27 февраля 2013 г. N 58/1271</w:t>
      </w:r>
    </w:p>
    <w:p>
      <w:pPr>
        <w:pStyle w:val="2"/>
        <w:jc w:val="center"/>
      </w:pPr>
      <w:r>
        <w:rPr>
          <w:sz w:val="20"/>
        </w:rPr>
      </w:r>
    </w:p>
    <w:p>
      <w:pPr>
        <w:pStyle w:val="2"/>
        <w:jc w:val="center"/>
      </w:pPr>
      <w:r>
        <w:rPr>
          <w:sz w:val="20"/>
        </w:rPr>
        <w:t xml:space="preserve">О ПОЛОЖЕНИИ "О БЛАГОДАРНОСТИ ТУЛЬСКОЙ ГОРОДСКОЙ ДУМЫ"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Тульской городской Думы</w:t>
            </w:r>
          </w:p>
          <w:p>
            <w:pPr>
              <w:pStyle w:val="0"/>
              <w:jc w:val="center"/>
            </w:pPr>
            <w:r>
              <w:rPr>
                <w:sz w:val="20"/>
                <w:color w:val="392c69"/>
              </w:rPr>
              <w:t xml:space="preserve">от 21.12.2016 </w:t>
            </w:r>
            <w:hyperlink w:history="0" r:id="rId7" w:tooltip="Решение Тульской городской Думы от 21.12.2016 N 32/819 &quot;О внесении изменений в Положение &quot;О Благодарности Тульской городской Думы&quot;, утвержденное решением Тульской городской Думы от 27.02.2013 N 58/1271&quot; {КонсультантПлюс}">
              <w:r>
                <w:rPr>
                  <w:sz w:val="20"/>
                  <w:color w:val="0000ff"/>
                </w:rPr>
                <w:t xml:space="preserve">N 32/819</w:t>
              </w:r>
            </w:hyperlink>
            <w:r>
              <w:rPr>
                <w:sz w:val="20"/>
                <w:color w:val="392c69"/>
              </w:rPr>
              <w:t xml:space="preserve">, от 25.02.2022 </w:t>
            </w:r>
            <w:hyperlink w:history="0" r:id="rId8" w:tooltip="Решение Тульской городской Думы от 25.02.2022 N 33/724 &quot;О внесении изменений в отдельные решения Тульской городской Думы&quot; {КонсультантПлюс}">
              <w:r>
                <w:rPr>
                  <w:sz w:val="20"/>
                  <w:color w:val="0000ff"/>
                </w:rPr>
                <w:t xml:space="preserve">N 33/724</w:t>
              </w:r>
            </w:hyperlink>
            <w:r>
              <w:rPr>
                <w:sz w:val="20"/>
                <w:color w:val="392c69"/>
              </w:rPr>
              <w:t xml:space="preserve">,</w:t>
            </w:r>
          </w:p>
          <w:p>
            <w:pPr>
              <w:pStyle w:val="0"/>
              <w:jc w:val="center"/>
            </w:pPr>
            <w:r>
              <w:rPr>
                <w:sz w:val="20"/>
                <w:color w:val="392c69"/>
              </w:rPr>
              <w:t xml:space="preserve">от 29.06.2022 </w:t>
            </w:r>
            <w:hyperlink w:history="0" r:id="rId9" w:tooltip="Решение Тульской городской Думы от 29.06.2022 N 37/823 &quot;О внесении изменений в отдельные решения Тульской городской Думы&quot; {КонсультантПлюс}">
              <w:r>
                <w:rPr>
                  <w:sz w:val="20"/>
                  <w:color w:val="0000ff"/>
                </w:rPr>
                <w:t xml:space="preserve">N 37/823</w:t>
              </w:r>
            </w:hyperlink>
            <w:r>
              <w:rPr>
                <w:sz w:val="20"/>
                <w:color w:val="392c69"/>
              </w:rPr>
              <w:t xml:space="preserve">, от 22.02.2023 </w:t>
            </w:r>
            <w:hyperlink w:history="0" r:id="rId10" w:tooltip="Решение Тульской городской Думы от 22.02.2023 N 46/1004 &quot;О внесении изменений в отдельные решения Тульской городской Думы&quot; (вместе с &quot;Согласием на обработку персональных данных и проведение мероприятий по проверке достоверности представленной в ходатайстве по присвоению звания &quot;Почетный гражданин города-героя Тулы&quot; информации&quot;) {КонсультантПлюс}">
              <w:r>
                <w:rPr>
                  <w:sz w:val="20"/>
                  <w:color w:val="0000ff"/>
                </w:rPr>
                <w:t xml:space="preserve">N 46/1004</w:t>
              </w:r>
            </w:hyperlink>
            <w:r>
              <w:rPr>
                <w:sz w:val="20"/>
                <w:color w:val="392c69"/>
              </w:rPr>
              <w:t xml:space="preserve">,</w:t>
            </w:r>
          </w:p>
          <w:p>
            <w:pPr>
              <w:pStyle w:val="0"/>
              <w:jc w:val="center"/>
            </w:pPr>
            <w:r>
              <w:rPr>
                <w:sz w:val="20"/>
                <w:color w:val="392c69"/>
              </w:rPr>
              <w:t xml:space="preserve">от 27.03.2024 </w:t>
            </w:r>
            <w:hyperlink w:history="0" r:id="rId11" w:tooltip="Решение Тульской городской Думы от 27.03.2024 N 59/1313 &quot;О внесении изменений в отдельные решения Тульской городской Думы&quot; {КонсультантПлюс}">
              <w:r>
                <w:rPr>
                  <w:sz w:val="20"/>
                  <w:color w:val="0000ff"/>
                </w:rPr>
                <w:t xml:space="preserve">N 59/1313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Руководствуясь Федеральным </w:t>
      </w:r>
      <w:hyperlink w:history="0" r:id="rId12" w:tooltip="Федеральный закон от 06.10.2003 N 131-ФЗ (ред. от 23.03.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w:t>
      </w:r>
      <w:hyperlink w:history="0" r:id="rId13" w:tooltip="&quot;Устав муниципального образования город Тула&quot; (принят местным референдумом 09.02.1997) (ред. от 28.02.2024) (Зарегистрировано в Отделе ГУ Минюста России по Центральному федеральному округу в Тульской области 29.05.2008 N RU713260002008001) {КонсультантПлюс}">
        <w:r>
          <w:rPr>
            <w:sz w:val="20"/>
            <w:color w:val="0000ff"/>
          </w:rPr>
          <w:t xml:space="preserve">Уставом</w:t>
        </w:r>
      </w:hyperlink>
      <w:r>
        <w:rPr>
          <w:sz w:val="20"/>
        </w:rPr>
        <w:t xml:space="preserve"> муниципального образования город Тула, Тульская городская Дума решила:</w:t>
      </w:r>
    </w:p>
    <w:p>
      <w:pPr>
        <w:pStyle w:val="0"/>
        <w:spacing w:before="200" w:line-rule="auto"/>
        <w:ind w:firstLine="540"/>
        <w:jc w:val="both"/>
      </w:pPr>
      <w:r>
        <w:rPr>
          <w:sz w:val="20"/>
        </w:rPr>
        <w:t xml:space="preserve">1. Утвердить </w:t>
      </w:r>
      <w:hyperlink w:history="0" w:anchor="P37" w:tooltip="ПОЛОЖЕНИЕ">
        <w:r>
          <w:rPr>
            <w:sz w:val="20"/>
            <w:color w:val="0000ff"/>
          </w:rPr>
          <w:t xml:space="preserve">Положение</w:t>
        </w:r>
      </w:hyperlink>
      <w:r>
        <w:rPr>
          <w:sz w:val="20"/>
        </w:rPr>
        <w:t xml:space="preserve"> "О Благодарности Тульской городской Думы" (приложение).</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2.1. </w:t>
      </w:r>
      <w:hyperlink w:history="0" r:id="rId14" w:tooltip="Решение Тульской городской Думы от 25.09.2001 N 57/1042 (ред. от 27.05.2009) &quot;О Положении &quot;О Благодарности Тульской городской Думы&quot; ------------ Утратил силу или отменен {КонсультантПлюс}">
        <w:r>
          <w:rPr>
            <w:sz w:val="20"/>
            <w:color w:val="0000ff"/>
          </w:rPr>
          <w:t xml:space="preserve">Решение</w:t>
        </w:r>
      </w:hyperlink>
      <w:r>
        <w:rPr>
          <w:sz w:val="20"/>
        </w:rPr>
        <w:t xml:space="preserve"> Тульской городской Думы от 25.09.2001 N 57/1042 "О Положении "О Благодарности Тульской городской Думы".</w:t>
      </w:r>
    </w:p>
    <w:p>
      <w:pPr>
        <w:pStyle w:val="0"/>
        <w:spacing w:before="200" w:line-rule="auto"/>
        <w:ind w:firstLine="540"/>
        <w:jc w:val="both"/>
      </w:pPr>
      <w:r>
        <w:rPr>
          <w:sz w:val="20"/>
        </w:rPr>
        <w:t xml:space="preserve">2.2. </w:t>
      </w:r>
      <w:hyperlink w:history="0" r:id="rId15" w:tooltip="Решение Тульской городской Думы от 28.05.2003 N 26/457 &quot;О внесении изменений в Положение &quot;О Благодарности Тульской городской Думы&quot;, утвержденное решением Тульской городской Думы от 25.09.2001 N 57/1042&quot; ------------ Утратил силу или отменен {КонсультантПлюс}">
        <w:r>
          <w:rPr>
            <w:sz w:val="20"/>
            <w:color w:val="0000ff"/>
          </w:rPr>
          <w:t xml:space="preserve">Решение</w:t>
        </w:r>
      </w:hyperlink>
      <w:r>
        <w:rPr>
          <w:sz w:val="20"/>
        </w:rPr>
        <w:t xml:space="preserve"> Тульской городской Думы от 28.05.2003 N 26/457 "О внесении изменений в Положение "О Благодарности Тульской городской Думы", утвержденное решением Тульской городской Думы от 25.09.2001 N 57/1042.</w:t>
      </w:r>
    </w:p>
    <w:p>
      <w:pPr>
        <w:pStyle w:val="0"/>
        <w:spacing w:before="200" w:line-rule="auto"/>
        <w:ind w:firstLine="540"/>
        <w:jc w:val="both"/>
      </w:pPr>
      <w:r>
        <w:rPr>
          <w:sz w:val="20"/>
        </w:rPr>
        <w:t xml:space="preserve">2.3. </w:t>
      </w:r>
      <w:hyperlink w:history="0" r:id="rId16" w:tooltip="Решение Тульской городской Думы от 27.05.2009 N 68/1515 &quot;О внесении изменений в Положение &quot;О Благодарности Тульской городской Думы&quot;, утвержденное решением Тульской городской Думы от 25.09.2001 N 57/1042&quot; ------------ Утратил силу или отменен {КонсультантПлюс}">
        <w:r>
          <w:rPr>
            <w:sz w:val="20"/>
            <w:color w:val="0000ff"/>
          </w:rPr>
          <w:t xml:space="preserve">Решение</w:t>
        </w:r>
      </w:hyperlink>
      <w:r>
        <w:rPr>
          <w:sz w:val="20"/>
        </w:rPr>
        <w:t xml:space="preserve"> Тульской городской Думы от 27.05.2009 N 68/1515 "О внесении изменений в Положение "О Благодарности Тульской городской Думы", утвержденное решением Тульской городской Думы от 25.09.2001 N 57/1042.</w:t>
      </w:r>
    </w:p>
    <w:p>
      <w:pPr>
        <w:pStyle w:val="0"/>
        <w:spacing w:before="200" w:line-rule="auto"/>
        <w:ind w:firstLine="540"/>
        <w:jc w:val="both"/>
      </w:pPr>
      <w:r>
        <w:rPr>
          <w:sz w:val="20"/>
        </w:rPr>
        <w:t xml:space="preserve">3. Опубликовать настоящее решение в общественно-политической региональной газете "Тула" и разместить на официальном сайте Тульской городской Думы в сети "Интернет".</w:t>
      </w:r>
    </w:p>
    <w:p>
      <w:pPr>
        <w:pStyle w:val="0"/>
        <w:spacing w:before="200" w:line-rule="auto"/>
        <w:ind w:firstLine="540"/>
        <w:jc w:val="both"/>
      </w:pPr>
      <w:r>
        <w:rPr>
          <w:sz w:val="20"/>
        </w:rPr>
        <w:t xml:space="preserve">4. Решение вступает в силу со дня его опубликования.</w:t>
      </w:r>
    </w:p>
    <w:p>
      <w:pPr>
        <w:pStyle w:val="0"/>
        <w:jc w:val="both"/>
      </w:pPr>
      <w:r>
        <w:rPr>
          <w:sz w:val="20"/>
        </w:rPr>
      </w:r>
    </w:p>
    <w:p>
      <w:pPr>
        <w:pStyle w:val="0"/>
        <w:jc w:val="right"/>
      </w:pPr>
      <w:r>
        <w:rPr>
          <w:sz w:val="20"/>
        </w:rPr>
        <w:t xml:space="preserve">Глава муниципального</w:t>
      </w:r>
    </w:p>
    <w:p>
      <w:pPr>
        <w:pStyle w:val="0"/>
        <w:jc w:val="right"/>
      </w:pPr>
      <w:r>
        <w:rPr>
          <w:sz w:val="20"/>
        </w:rPr>
        <w:t xml:space="preserve">образования город Тула</w:t>
      </w:r>
    </w:p>
    <w:p>
      <w:pPr>
        <w:pStyle w:val="0"/>
        <w:jc w:val="right"/>
      </w:pPr>
      <w:r>
        <w:rPr>
          <w:sz w:val="20"/>
        </w:rPr>
        <w:t xml:space="preserve">А.Е.ПРОКОПУК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решению Тульской</w:t>
      </w:r>
    </w:p>
    <w:p>
      <w:pPr>
        <w:pStyle w:val="0"/>
        <w:jc w:val="right"/>
      </w:pPr>
      <w:r>
        <w:rPr>
          <w:sz w:val="20"/>
        </w:rPr>
        <w:t xml:space="preserve">городской Думы</w:t>
      </w:r>
    </w:p>
    <w:p>
      <w:pPr>
        <w:pStyle w:val="0"/>
        <w:jc w:val="right"/>
      </w:pPr>
      <w:r>
        <w:rPr>
          <w:sz w:val="20"/>
        </w:rPr>
        <w:t xml:space="preserve">от 27.02.2013 N 58/1271</w:t>
      </w:r>
    </w:p>
    <w:p>
      <w:pPr>
        <w:pStyle w:val="0"/>
        <w:jc w:val="both"/>
      </w:pPr>
      <w:r>
        <w:rPr>
          <w:sz w:val="20"/>
        </w:rPr>
      </w:r>
    </w:p>
    <w:bookmarkStart w:id="37" w:name="P37"/>
    <w:bookmarkEnd w:id="37"/>
    <w:p>
      <w:pPr>
        <w:pStyle w:val="2"/>
        <w:jc w:val="center"/>
      </w:pPr>
      <w:r>
        <w:rPr>
          <w:sz w:val="20"/>
        </w:rPr>
        <w:t xml:space="preserve">ПОЛОЖЕНИЕ</w:t>
      </w:r>
    </w:p>
    <w:p>
      <w:pPr>
        <w:pStyle w:val="2"/>
        <w:jc w:val="center"/>
      </w:pPr>
      <w:r>
        <w:rPr>
          <w:sz w:val="20"/>
        </w:rPr>
        <w:t xml:space="preserve">"О БЛАГОДАРНОСТИ ТУЛЬСКОЙ ГОРОДСКОЙ ДУМЫ"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Тульской городской Думы</w:t>
            </w:r>
          </w:p>
          <w:p>
            <w:pPr>
              <w:pStyle w:val="0"/>
              <w:jc w:val="center"/>
            </w:pPr>
            <w:r>
              <w:rPr>
                <w:sz w:val="20"/>
                <w:color w:val="392c69"/>
              </w:rPr>
              <w:t xml:space="preserve">от 21.12.2016 </w:t>
            </w:r>
            <w:hyperlink w:history="0" r:id="rId17" w:tooltip="Решение Тульской городской Думы от 21.12.2016 N 32/819 &quot;О внесении изменений в Положение &quot;О Благодарности Тульской городской Думы&quot;, утвержденное решением Тульской городской Думы от 27.02.2013 N 58/1271&quot; {КонсультантПлюс}">
              <w:r>
                <w:rPr>
                  <w:sz w:val="20"/>
                  <w:color w:val="0000ff"/>
                </w:rPr>
                <w:t xml:space="preserve">N 32/819</w:t>
              </w:r>
            </w:hyperlink>
            <w:r>
              <w:rPr>
                <w:sz w:val="20"/>
                <w:color w:val="392c69"/>
              </w:rPr>
              <w:t xml:space="preserve">, от 25.02.2022 </w:t>
            </w:r>
            <w:hyperlink w:history="0" r:id="rId18" w:tooltip="Решение Тульской городской Думы от 25.02.2022 N 33/724 &quot;О внесении изменений в отдельные решения Тульской городской Думы&quot; {КонсультантПлюс}">
              <w:r>
                <w:rPr>
                  <w:sz w:val="20"/>
                  <w:color w:val="0000ff"/>
                </w:rPr>
                <w:t xml:space="preserve">N 33/724</w:t>
              </w:r>
            </w:hyperlink>
            <w:r>
              <w:rPr>
                <w:sz w:val="20"/>
                <w:color w:val="392c69"/>
              </w:rPr>
              <w:t xml:space="preserve">,</w:t>
            </w:r>
          </w:p>
          <w:p>
            <w:pPr>
              <w:pStyle w:val="0"/>
              <w:jc w:val="center"/>
            </w:pPr>
            <w:r>
              <w:rPr>
                <w:sz w:val="20"/>
                <w:color w:val="392c69"/>
              </w:rPr>
              <w:t xml:space="preserve">от 29.06.2022 </w:t>
            </w:r>
            <w:hyperlink w:history="0" r:id="rId19" w:tooltip="Решение Тульской городской Думы от 29.06.2022 N 37/823 &quot;О внесении изменений в отдельные решения Тульской городской Думы&quot; {КонсультантПлюс}">
              <w:r>
                <w:rPr>
                  <w:sz w:val="20"/>
                  <w:color w:val="0000ff"/>
                </w:rPr>
                <w:t xml:space="preserve">N 37/823</w:t>
              </w:r>
            </w:hyperlink>
            <w:r>
              <w:rPr>
                <w:sz w:val="20"/>
                <w:color w:val="392c69"/>
              </w:rPr>
              <w:t xml:space="preserve">, от 22.02.2023 </w:t>
            </w:r>
            <w:hyperlink w:history="0" r:id="rId20" w:tooltip="Решение Тульской городской Думы от 22.02.2023 N 46/1004 &quot;О внесении изменений в отдельные решения Тульской городской Думы&quot; (вместе с &quot;Согласием на обработку персональных данных и проведение мероприятий по проверке достоверности представленной в ходатайстве по присвоению звания &quot;Почетный гражданин города-героя Тулы&quot; информации&quot;) {КонсультантПлюс}">
              <w:r>
                <w:rPr>
                  <w:sz w:val="20"/>
                  <w:color w:val="0000ff"/>
                </w:rPr>
                <w:t xml:space="preserve">N 46/1004</w:t>
              </w:r>
            </w:hyperlink>
            <w:r>
              <w:rPr>
                <w:sz w:val="20"/>
                <w:color w:val="392c69"/>
              </w:rPr>
              <w:t xml:space="preserve">,</w:t>
            </w:r>
          </w:p>
          <w:p>
            <w:pPr>
              <w:pStyle w:val="0"/>
              <w:jc w:val="center"/>
            </w:pPr>
            <w:r>
              <w:rPr>
                <w:sz w:val="20"/>
                <w:color w:val="392c69"/>
              </w:rPr>
              <w:t xml:space="preserve">от 27.03.2024 </w:t>
            </w:r>
            <w:hyperlink w:history="0" r:id="rId21" w:tooltip="Решение Тульской городской Думы от 27.03.2024 N 59/1313 &quot;О внесении изменений в отдельные решения Тульской городской Думы&quot; {КонсультантПлюс}">
              <w:r>
                <w:rPr>
                  <w:sz w:val="20"/>
                  <w:color w:val="0000ff"/>
                </w:rPr>
                <w:t xml:space="preserve">N 59/1313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Благодарность Тульской городской Думы (далее - Благодарность) является формой поощрения граждан, трудовых коллективов и юридических лиц за заслуги перед муниципальным образованием город Тула.</w:t>
      </w:r>
    </w:p>
    <w:p>
      <w:pPr>
        <w:pStyle w:val="0"/>
        <w:spacing w:before="200" w:line-rule="auto"/>
        <w:ind w:firstLine="540"/>
        <w:jc w:val="both"/>
      </w:pPr>
      <w:r>
        <w:rPr>
          <w:sz w:val="20"/>
        </w:rPr>
        <w:t xml:space="preserve">2. Основаниями для награждения граждан, трудовых коллективов и юридических лиц Благодарностью являются:</w:t>
      </w:r>
    </w:p>
    <w:p>
      <w:pPr>
        <w:pStyle w:val="0"/>
        <w:spacing w:before="200" w:line-rule="auto"/>
        <w:ind w:firstLine="540"/>
        <w:jc w:val="both"/>
      </w:pPr>
      <w:r>
        <w:rPr>
          <w:sz w:val="20"/>
        </w:rPr>
        <w:t xml:space="preserve">2.1. Многолетний добросовестный труд.</w:t>
      </w:r>
    </w:p>
    <w:p>
      <w:pPr>
        <w:pStyle w:val="0"/>
        <w:spacing w:before="200" w:line-rule="auto"/>
        <w:ind w:firstLine="540"/>
        <w:jc w:val="both"/>
      </w:pPr>
      <w:r>
        <w:rPr>
          <w:sz w:val="20"/>
        </w:rPr>
        <w:t xml:space="preserve">2.2. Заслуги и достижения в сфере развития экономики; в строительстве, в социальной сфере; сфере культуры, искусства и спорта, охраны окружающей среды и обеспечения экологической безопасности и иных общественно значимых областях.</w:t>
      </w:r>
    </w:p>
    <w:p>
      <w:pPr>
        <w:pStyle w:val="0"/>
        <w:spacing w:before="200" w:line-rule="auto"/>
        <w:ind w:firstLine="540"/>
        <w:jc w:val="both"/>
      </w:pPr>
      <w:r>
        <w:rPr>
          <w:sz w:val="20"/>
        </w:rPr>
        <w:t xml:space="preserve">2.3. Заслуги и достижения в сфере законности, правопорядка и общественной безопасности.</w:t>
      </w:r>
    </w:p>
    <w:p>
      <w:pPr>
        <w:pStyle w:val="0"/>
        <w:spacing w:before="200" w:line-rule="auto"/>
        <w:ind w:firstLine="540"/>
        <w:jc w:val="both"/>
      </w:pPr>
      <w:r>
        <w:rPr>
          <w:sz w:val="20"/>
        </w:rPr>
        <w:t xml:space="preserve">2.4. Значимые успехи в организации предпринимательской деятельности.</w:t>
      </w:r>
    </w:p>
    <w:p>
      <w:pPr>
        <w:pStyle w:val="0"/>
        <w:spacing w:before="200" w:line-rule="auto"/>
        <w:ind w:firstLine="540"/>
        <w:jc w:val="both"/>
      </w:pPr>
      <w:r>
        <w:rPr>
          <w:sz w:val="20"/>
        </w:rPr>
        <w:t xml:space="preserve">2.5. Активное участие в благотворительной и общественной деятельности.</w:t>
      </w:r>
    </w:p>
    <w:p>
      <w:pPr>
        <w:pStyle w:val="0"/>
        <w:spacing w:before="200" w:line-rule="auto"/>
        <w:ind w:firstLine="540"/>
        <w:jc w:val="both"/>
      </w:pPr>
      <w:r>
        <w:rPr>
          <w:sz w:val="20"/>
        </w:rPr>
        <w:t xml:space="preserve">2.6. Трудовые и производственные успехи.</w:t>
      </w:r>
    </w:p>
    <w:p>
      <w:pPr>
        <w:pStyle w:val="0"/>
        <w:spacing w:before="200" w:line-rule="auto"/>
        <w:ind w:firstLine="540"/>
        <w:jc w:val="both"/>
      </w:pPr>
      <w:r>
        <w:rPr>
          <w:sz w:val="20"/>
        </w:rPr>
        <w:t xml:space="preserve">2.7. Успехи в развитии средств массовой информации.</w:t>
      </w:r>
    </w:p>
    <w:p>
      <w:pPr>
        <w:pStyle w:val="0"/>
        <w:spacing w:before="200" w:line-rule="auto"/>
        <w:ind w:firstLine="540"/>
        <w:jc w:val="both"/>
      </w:pPr>
      <w:r>
        <w:rPr>
          <w:sz w:val="20"/>
        </w:rPr>
        <w:t xml:space="preserve">2.8. Юбилейные даты для трудовых коллективов и юридических лиц.</w:t>
      </w:r>
    </w:p>
    <w:p>
      <w:pPr>
        <w:pStyle w:val="0"/>
        <w:spacing w:before="200" w:line-rule="auto"/>
        <w:ind w:firstLine="540"/>
        <w:jc w:val="both"/>
      </w:pPr>
      <w:r>
        <w:rPr>
          <w:sz w:val="20"/>
        </w:rPr>
        <w:t xml:space="preserve">2.9. Юбилейные даты для граждан.</w:t>
      </w:r>
    </w:p>
    <w:p>
      <w:pPr>
        <w:pStyle w:val="0"/>
        <w:spacing w:before="200" w:line-rule="auto"/>
        <w:ind w:firstLine="540"/>
        <w:jc w:val="both"/>
      </w:pPr>
      <w:r>
        <w:rPr>
          <w:sz w:val="20"/>
        </w:rPr>
        <w:t xml:space="preserve">2.10. Профессиональные, государственные и муниципальные праздники.</w:t>
      </w:r>
    </w:p>
    <w:p>
      <w:pPr>
        <w:pStyle w:val="0"/>
        <w:spacing w:before="200" w:line-rule="auto"/>
        <w:ind w:firstLine="540"/>
        <w:jc w:val="both"/>
      </w:pPr>
      <w:r>
        <w:rPr>
          <w:sz w:val="20"/>
        </w:rPr>
        <w:t xml:space="preserve">2.11. Иная деятельность, способствующая всестороннему развитию и повышению авторитета муниципального образования город Тула.</w:t>
      </w:r>
    </w:p>
    <w:p>
      <w:pPr>
        <w:pStyle w:val="0"/>
        <w:spacing w:before="200" w:line-rule="auto"/>
        <w:ind w:firstLine="540"/>
        <w:jc w:val="both"/>
      </w:pPr>
      <w:r>
        <w:rPr>
          <w:sz w:val="20"/>
        </w:rPr>
        <w:t xml:space="preserve">3. Ходатайства о награждении Благодарностью в адрес Тульской городской Думы вносят руководители юридических лиц, депутаты Тульской городской Думы, должностные лица администрации города Тулы, органы территориального общественного самоуправления муниципального образования город Тула не позднее, чем за месяц до дня награждения.</w:t>
      </w:r>
    </w:p>
    <w:p>
      <w:pPr>
        <w:pStyle w:val="0"/>
        <w:jc w:val="both"/>
      </w:pPr>
      <w:r>
        <w:rPr>
          <w:sz w:val="20"/>
        </w:rPr>
        <w:t xml:space="preserve">(в ред. </w:t>
      </w:r>
      <w:hyperlink w:history="0" r:id="rId22" w:tooltip="Решение Тульской городской Думы от 21.12.2016 N 32/819 &quot;О внесении изменений в Положение &quot;О Благодарности Тульской городской Думы&quot;, утвержденное решением Тульской городской Думы от 27.02.2013 N 58/1271&quot; {КонсультантПлюс}">
        <w:r>
          <w:rPr>
            <w:sz w:val="20"/>
            <w:color w:val="0000ff"/>
          </w:rPr>
          <w:t xml:space="preserve">решения</w:t>
        </w:r>
      </w:hyperlink>
      <w:r>
        <w:rPr>
          <w:sz w:val="20"/>
        </w:rPr>
        <w:t xml:space="preserve"> Тульской городской Думы от 21.12.2016 N 32/819)</w:t>
      </w:r>
    </w:p>
    <w:p>
      <w:pPr>
        <w:pStyle w:val="0"/>
        <w:spacing w:before="200" w:line-rule="auto"/>
        <w:ind w:firstLine="540"/>
        <w:jc w:val="both"/>
      </w:pPr>
      <w:r>
        <w:rPr>
          <w:sz w:val="20"/>
        </w:rPr>
        <w:t xml:space="preserve">К ходатайству прилагается характеристика, отражающая биографические данные, сведения о заслугах и достижениях, сведения о наградах и поощрениях; согласие на обработку персональных данных (</w:t>
      </w:r>
      <w:hyperlink w:history="0" w:anchor="P95" w:tooltip="СОГЛАСИЕ">
        <w:r>
          <w:rPr>
            <w:sz w:val="20"/>
            <w:color w:val="0000ff"/>
          </w:rPr>
          <w:t xml:space="preserve">приложение</w:t>
        </w:r>
      </w:hyperlink>
      <w:r>
        <w:rPr>
          <w:sz w:val="20"/>
        </w:rPr>
        <w:t xml:space="preserve"> к Положению).</w:t>
      </w:r>
    </w:p>
    <w:p>
      <w:pPr>
        <w:pStyle w:val="0"/>
        <w:jc w:val="both"/>
      </w:pPr>
      <w:r>
        <w:rPr>
          <w:sz w:val="20"/>
        </w:rPr>
        <w:t xml:space="preserve">(абзац введен </w:t>
      </w:r>
      <w:hyperlink w:history="0" r:id="rId23" w:tooltip="Решение Тульской городской Думы от 21.12.2016 N 32/819 &quot;О внесении изменений в Положение &quot;О Благодарности Тульской городской Думы&quot;, утвержденное решением Тульской городской Думы от 27.02.2013 N 58/1271&quot; {КонсультантПлюс}">
        <w:r>
          <w:rPr>
            <w:sz w:val="20"/>
            <w:color w:val="0000ff"/>
          </w:rPr>
          <w:t xml:space="preserve">решением</w:t>
        </w:r>
      </w:hyperlink>
      <w:r>
        <w:rPr>
          <w:sz w:val="20"/>
        </w:rPr>
        <w:t xml:space="preserve"> Тульской городской Думы от 21.12.2016 N 32/819; в ред. </w:t>
      </w:r>
      <w:hyperlink w:history="0" r:id="rId24" w:tooltip="Решение Тульской городской Думы от 22.02.2023 N 46/1004 &quot;О внесении изменений в отдельные решения Тульской городской Думы&quot; (вместе с &quot;Согласием на обработку персональных данных и проведение мероприятий по проверке достоверности представленной в ходатайстве по присвоению звания &quot;Почетный гражданин города-героя Тулы&quot; информации&quot;) {КонсультантПлюс}">
        <w:r>
          <w:rPr>
            <w:sz w:val="20"/>
            <w:color w:val="0000ff"/>
          </w:rPr>
          <w:t xml:space="preserve">решения</w:t>
        </w:r>
      </w:hyperlink>
      <w:r>
        <w:rPr>
          <w:sz w:val="20"/>
        </w:rPr>
        <w:t xml:space="preserve"> Тульской городской Думы от 22.02.2023 N 46/1004)</w:t>
      </w:r>
    </w:p>
    <w:p>
      <w:pPr>
        <w:pStyle w:val="0"/>
        <w:spacing w:before="200" w:line-rule="auto"/>
        <w:ind w:firstLine="540"/>
        <w:jc w:val="both"/>
      </w:pPr>
      <w:r>
        <w:rPr>
          <w:sz w:val="20"/>
        </w:rPr>
        <w:t xml:space="preserve">4. Ходатайство о награждении Благодарностью должно содержать описание достижений и заслуг граждан, трудовых коллективов или юридических лиц, которые являются основанием для награждения Благодарностью.</w:t>
      </w:r>
    </w:p>
    <w:p>
      <w:pPr>
        <w:pStyle w:val="0"/>
        <w:spacing w:before="200" w:line-rule="auto"/>
        <w:ind w:firstLine="540"/>
        <w:jc w:val="both"/>
      </w:pPr>
      <w:r>
        <w:rPr>
          <w:sz w:val="20"/>
        </w:rPr>
        <w:t xml:space="preserve">Ходатайства о награждении трудовых коллективов и (или) работников муниципальных предприятий (учреждений), отраслевых и функциональных органов администрации города должны быть письменно согласованы с главой администрации муниципального образования город Тула.</w:t>
      </w:r>
    </w:p>
    <w:p>
      <w:pPr>
        <w:pStyle w:val="0"/>
        <w:jc w:val="both"/>
      </w:pPr>
      <w:r>
        <w:rPr>
          <w:sz w:val="20"/>
        </w:rPr>
        <w:t xml:space="preserve">(абзац введен </w:t>
      </w:r>
      <w:hyperlink w:history="0" r:id="rId25" w:tooltip="Решение Тульской городской Думы от 21.12.2016 N 32/819 &quot;О внесении изменений в Положение &quot;О Благодарности Тульской городской Думы&quot;, утвержденное решением Тульской городской Думы от 27.02.2013 N 58/1271&quot; {КонсультантПлюс}">
        <w:r>
          <w:rPr>
            <w:sz w:val="20"/>
            <w:color w:val="0000ff"/>
          </w:rPr>
          <w:t xml:space="preserve">решением</w:t>
        </w:r>
      </w:hyperlink>
      <w:r>
        <w:rPr>
          <w:sz w:val="20"/>
        </w:rPr>
        <w:t xml:space="preserve"> Тульской городской Думы от 21.12.2016 N 32/819)</w:t>
      </w:r>
    </w:p>
    <w:p>
      <w:pPr>
        <w:pStyle w:val="0"/>
        <w:spacing w:before="200" w:line-rule="auto"/>
        <w:ind w:firstLine="540"/>
        <w:jc w:val="both"/>
      </w:pPr>
      <w:r>
        <w:rPr>
          <w:sz w:val="20"/>
        </w:rPr>
        <w:t xml:space="preserve">5. Решение о награждении Благодарностью оформляется распоряжением Главы муниципального образования город Тула.</w:t>
      </w:r>
    </w:p>
    <w:p>
      <w:pPr>
        <w:pStyle w:val="0"/>
        <w:spacing w:before="200" w:line-rule="auto"/>
        <w:ind w:firstLine="540"/>
        <w:jc w:val="both"/>
      </w:pPr>
      <w:r>
        <w:rPr>
          <w:sz w:val="20"/>
        </w:rPr>
        <w:t xml:space="preserve">6. Подготовку проекта распоряжения Главы муниципального образования город Тула о награждении Благодарностью, ведение Реестра лиц, награжденных Благодарностью, оформление Благодарности осуществляет отдел по обеспечению полномочий председателя Тульской городской Думы аппарата Тульской городской Думы.</w:t>
      </w:r>
    </w:p>
    <w:p>
      <w:pPr>
        <w:pStyle w:val="0"/>
        <w:jc w:val="both"/>
      </w:pPr>
      <w:r>
        <w:rPr>
          <w:sz w:val="20"/>
        </w:rPr>
        <w:t xml:space="preserve">(в ред. </w:t>
      </w:r>
      <w:hyperlink w:history="0" r:id="rId26" w:tooltip="Решение Тульской городской Думы от 25.02.2022 N 33/724 &quot;О внесении изменений в отдельные решения Тульской городской Думы&quot; {КонсультантПлюс}">
        <w:r>
          <w:rPr>
            <w:sz w:val="20"/>
            <w:color w:val="0000ff"/>
          </w:rPr>
          <w:t xml:space="preserve">решения</w:t>
        </w:r>
      </w:hyperlink>
      <w:r>
        <w:rPr>
          <w:sz w:val="20"/>
        </w:rPr>
        <w:t xml:space="preserve"> Тульской городской Думы от 25.02.2022 N 33/724)</w:t>
      </w:r>
    </w:p>
    <w:p>
      <w:pPr>
        <w:pStyle w:val="0"/>
        <w:spacing w:before="200" w:line-rule="auto"/>
        <w:ind w:firstLine="540"/>
        <w:jc w:val="both"/>
      </w:pPr>
      <w:r>
        <w:rPr>
          <w:sz w:val="20"/>
        </w:rPr>
        <w:t xml:space="preserve">7. Благодарность подписывается Главой муниципального образования город Тула, в его отсутствие - заместителем председателя Тульской городской Думы, исполняющим полномочия Главы муниципального образования город Тула.</w:t>
      </w:r>
    </w:p>
    <w:p>
      <w:pPr>
        <w:pStyle w:val="0"/>
        <w:spacing w:before="200" w:line-rule="auto"/>
        <w:ind w:firstLine="540"/>
        <w:jc w:val="both"/>
      </w:pPr>
      <w:r>
        <w:rPr>
          <w:sz w:val="20"/>
        </w:rPr>
        <w:t xml:space="preserve">8. Награждение Благодарностью производится в торжественной обстановке Главой муниципального образования город Тула или иными лицами по его поручению.</w:t>
      </w:r>
    </w:p>
    <w:p>
      <w:pPr>
        <w:pStyle w:val="0"/>
        <w:spacing w:before="200" w:line-rule="auto"/>
        <w:ind w:firstLine="540"/>
        <w:jc w:val="both"/>
      </w:pPr>
      <w:r>
        <w:rPr>
          <w:sz w:val="20"/>
        </w:rPr>
        <w:t xml:space="preserve">9. При утрате Благодарности дубликат не выдается.</w:t>
      </w:r>
    </w:p>
    <w:p>
      <w:pPr>
        <w:pStyle w:val="0"/>
        <w:spacing w:before="200" w:line-rule="auto"/>
        <w:ind w:firstLine="540"/>
        <w:jc w:val="both"/>
      </w:pPr>
      <w:r>
        <w:rPr>
          <w:sz w:val="20"/>
        </w:rPr>
        <w:t xml:space="preserve">10. Описание Благодарности Тульской городской Думы:</w:t>
      </w:r>
    </w:p>
    <w:p>
      <w:pPr>
        <w:pStyle w:val="0"/>
        <w:spacing w:before="200" w:line-rule="auto"/>
        <w:ind w:firstLine="540"/>
        <w:jc w:val="both"/>
      </w:pPr>
      <w:r>
        <w:rPr>
          <w:sz w:val="20"/>
        </w:rPr>
        <w:t xml:space="preserve">Благодарность представляет собой лист формата А3 из плотной бумаги белого цвета, переходящего в нижней части в светло-голубой.</w:t>
      </w:r>
    </w:p>
    <w:p>
      <w:pPr>
        <w:pStyle w:val="0"/>
        <w:spacing w:before="200" w:line-rule="auto"/>
        <w:ind w:firstLine="540"/>
        <w:jc w:val="both"/>
      </w:pPr>
      <w:r>
        <w:rPr>
          <w:sz w:val="20"/>
        </w:rPr>
        <w:t xml:space="preserve">Благодарность окаймлена рамкой, выполненной тиснением голубого цвета. В верхней части по центру располагается изображение герба города-героя Тулы.</w:t>
      </w:r>
    </w:p>
    <w:p>
      <w:pPr>
        <w:pStyle w:val="0"/>
        <w:spacing w:before="200" w:line-rule="auto"/>
        <w:ind w:firstLine="540"/>
        <w:jc w:val="both"/>
      </w:pPr>
      <w:r>
        <w:rPr>
          <w:sz w:val="20"/>
        </w:rPr>
        <w:t xml:space="preserve">Под изображением герба города-героя Тулы сверху вниз по центру располагаются:</w:t>
      </w:r>
    </w:p>
    <w:p>
      <w:pPr>
        <w:pStyle w:val="0"/>
        <w:spacing w:before="200" w:line-rule="auto"/>
        <w:ind w:firstLine="540"/>
        <w:jc w:val="both"/>
      </w:pPr>
      <w:r>
        <w:rPr>
          <w:sz w:val="20"/>
        </w:rPr>
        <w:t xml:space="preserve">- надпись в две строки: "ТУЛЬСКАЯ ГОРОДСКАЯ ДУМА" "БЛАГОДАРНОСТЬ", выполненная золотым тиснением;</w:t>
      </w:r>
    </w:p>
    <w:p>
      <w:pPr>
        <w:pStyle w:val="0"/>
        <w:spacing w:before="200" w:line-rule="auto"/>
        <w:ind w:firstLine="540"/>
        <w:jc w:val="both"/>
      </w:pPr>
      <w:r>
        <w:rPr>
          <w:sz w:val="20"/>
        </w:rPr>
        <w:t xml:space="preserve">- текст в красном цвете следующего содержания: указываются субъект награждения (Ф.И.О., должность (наименование юридического лица)); месяц, год награждения; заслуги, за которые производится награждение.</w:t>
      </w:r>
    </w:p>
    <w:p>
      <w:pPr>
        <w:pStyle w:val="0"/>
        <w:jc w:val="both"/>
      </w:pPr>
      <w:r>
        <w:rPr>
          <w:sz w:val="20"/>
        </w:rPr>
        <w:t xml:space="preserve">(в ред. </w:t>
      </w:r>
      <w:hyperlink w:history="0" r:id="rId27" w:tooltip="Решение Тульской городской Думы от 27.03.2024 N 59/1313 &quot;О внесении изменений в отдельные решения Тульской городской Думы&quot; {КонсультантПлюс}">
        <w:r>
          <w:rPr>
            <w:sz w:val="20"/>
            <w:color w:val="0000ff"/>
          </w:rPr>
          <w:t xml:space="preserve">решения</w:t>
        </w:r>
      </w:hyperlink>
      <w:r>
        <w:rPr>
          <w:sz w:val="20"/>
        </w:rPr>
        <w:t xml:space="preserve"> Тульской городской Думы от 27.03.2024 N 59/1313)</w:t>
      </w:r>
    </w:p>
    <w:p>
      <w:pPr>
        <w:pStyle w:val="0"/>
        <w:spacing w:before="200" w:line-rule="auto"/>
        <w:ind w:firstLine="540"/>
        <w:jc w:val="both"/>
      </w:pPr>
      <w:r>
        <w:rPr>
          <w:sz w:val="20"/>
        </w:rPr>
        <w:t xml:space="preserve">В нижней левой части - надпись в две строки: "Глава муниципального", "образования город Тула", в правой - инициалы и фамилия Главы муниципального образования город Тула. Между наименованием должности и фамилией Главы муниципального образования город Тула - место для подписи.</w:t>
      </w:r>
    </w:p>
    <w:p>
      <w:pPr>
        <w:pStyle w:val="0"/>
        <w:spacing w:before="200" w:line-rule="auto"/>
        <w:ind w:firstLine="540"/>
        <w:jc w:val="both"/>
      </w:pPr>
      <w:r>
        <w:rPr>
          <w:sz w:val="20"/>
        </w:rPr>
        <w:t xml:space="preserve">В нижней части Благодарности по центру - цветное изображение здания Правительства Тульской области на втором плане.</w:t>
      </w:r>
    </w:p>
    <w:p>
      <w:pPr>
        <w:pStyle w:val="0"/>
        <w:jc w:val="both"/>
      </w:pPr>
      <w:r>
        <w:rPr>
          <w:sz w:val="20"/>
        </w:rPr>
        <w:t xml:space="preserve">(в ред. </w:t>
      </w:r>
      <w:hyperlink w:history="0" r:id="rId28" w:tooltip="Решение Тульской городской Думы от 29.06.2022 N 37/823 &quot;О внесении изменений в отдельные решения Тульской городской Думы&quot; {КонсультантПлюс}">
        <w:r>
          <w:rPr>
            <w:sz w:val="20"/>
            <w:color w:val="0000ff"/>
          </w:rPr>
          <w:t xml:space="preserve">решения</w:t>
        </w:r>
      </w:hyperlink>
      <w:r>
        <w:rPr>
          <w:sz w:val="20"/>
        </w:rPr>
        <w:t xml:space="preserve"> Тульской городской Думы от 29.06.2022 N 37/823)</w:t>
      </w:r>
    </w:p>
    <w:p>
      <w:pPr>
        <w:pStyle w:val="0"/>
        <w:spacing w:before="200" w:line-rule="auto"/>
        <w:ind w:firstLine="540"/>
        <w:jc w:val="both"/>
      </w:pPr>
      <w:r>
        <w:rPr>
          <w:sz w:val="20"/>
        </w:rPr>
        <w:t xml:space="preserve">Благодарность заверяется гербовой печатью Тульской городской Думы.</w:t>
      </w:r>
    </w:p>
    <w:p>
      <w:pPr>
        <w:pStyle w:val="0"/>
        <w:spacing w:before="200" w:line-rule="auto"/>
        <w:ind w:firstLine="540"/>
        <w:jc w:val="both"/>
      </w:pPr>
      <w:r>
        <w:rPr>
          <w:sz w:val="20"/>
        </w:rPr>
        <w:t xml:space="preserve">Благодарность оформляется в настенном варианте (рамке).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 "О Благодарности</w:t>
      </w:r>
    </w:p>
    <w:p>
      <w:pPr>
        <w:pStyle w:val="0"/>
        <w:jc w:val="right"/>
      </w:pPr>
      <w:r>
        <w:rPr>
          <w:sz w:val="20"/>
        </w:rPr>
        <w:t xml:space="preserve">Тульской городской Думы"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9" w:tooltip="Решение Тульской городской Думы от 22.02.2023 N 46/1004 &quot;О внесении изменений в отдельные решения Тульской городской Думы&quot; (вместе с &quot;Согласием на обработку персональных данных и проведение мероприятий по проверке достоверности представленной в ходатайстве по присвоению звания &quot;Почетный гражданин города-героя Тулы&quot; информации&quot;) {КонсультантПлюс}">
              <w:r>
                <w:rPr>
                  <w:sz w:val="20"/>
                  <w:color w:val="0000ff"/>
                </w:rPr>
                <w:t xml:space="preserve">решением</w:t>
              </w:r>
            </w:hyperlink>
            <w:r>
              <w:rPr>
                <w:sz w:val="20"/>
                <w:color w:val="392c69"/>
              </w:rPr>
              <w:t xml:space="preserve"> Тульской городской Думы</w:t>
            </w:r>
          </w:p>
          <w:p>
            <w:pPr>
              <w:pStyle w:val="0"/>
              <w:jc w:val="center"/>
            </w:pPr>
            <w:r>
              <w:rPr>
                <w:sz w:val="20"/>
                <w:color w:val="392c69"/>
              </w:rPr>
              <w:t xml:space="preserve">от 22.02.2023 N 46/1004)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95" w:name="P95"/>
    <w:bookmarkEnd w:id="95"/>
    <w:p>
      <w:pPr>
        <w:pStyle w:val="0"/>
        <w:jc w:val="center"/>
      </w:pPr>
      <w:r>
        <w:rPr>
          <w:sz w:val="20"/>
        </w:rPr>
        <w:t xml:space="preserve">СОГЛАСИЕ</w:t>
      </w:r>
    </w:p>
    <w:p>
      <w:pPr>
        <w:pStyle w:val="0"/>
        <w:jc w:val="center"/>
      </w:pPr>
      <w:r>
        <w:rPr>
          <w:sz w:val="20"/>
        </w:rPr>
        <w:t xml:space="preserve">НА ОБРАБОТКУ ПЕРСОНАЛЬНЫХ ДАННЫХ</w:t>
      </w:r>
    </w:p>
    <w:p>
      <w:pPr>
        <w:pStyle w:val="0"/>
        <w:jc w:val="both"/>
      </w:pPr>
      <w:r>
        <w:rPr>
          <w:sz w:val="20"/>
        </w:rPr>
      </w:r>
    </w:p>
    <w:tbl>
      <w:tblPr>
        <w:tblInd w:w="0" w:type="dxa"/>
        <w:tblLayout w:type="fixed"/>
        <w:tblCellMar>
          <w:top w:w="102" w:type="dxa"/>
          <w:left w:w="62" w:type="dxa"/>
          <w:bottom w:w="102" w:type="dxa"/>
          <w:right w:w="62" w:type="dxa"/>
        </w:tblCellMar>
      </w:tblPr>
      <w:tblGrid>
        <w:gridCol w:w="340"/>
        <w:gridCol w:w="827"/>
        <w:gridCol w:w="340"/>
        <w:gridCol w:w="1578"/>
        <w:gridCol w:w="487"/>
        <w:gridCol w:w="845"/>
        <w:gridCol w:w="340"/>
        <w:gridCol w:w="1191"/>
        <w:gridCol w:w="340"/>
        <w:gridCol w:w="2432"/>
        <w:gridCol w:w="346"/>
      </w:tblGrid>
      <w:tr>
        <w:tc>
          <w:tcPr>
            <w:tcW w:w="340" w:type="dxa"/>
            <w:tcBorders>
              <w:top w:val="nil"/>
              <w:left w:val="nil"/>
              <w:bottom w:val="nil"/>
              <w:right w:val="nil"/>
            </w:tcBorders>
          </w:tcPr>
          <w:p>
            <w:pPr>
              <w:pStyle w:val="0"/>
              <w:jc w:val="both"/>
            </w:pPr>
            <w:r>
              <w:rPr>
                <w:sz w:val="20"/>
              </w:rPr>
              <w:t xml:space="preserve">Я,</w:t>
            </w:r>
          </w:p>
        </w:tc>
        <w:tc>
          <w:tcPr>
            <w:gridSpan w:val="9"/>
            <w:tcW w:w="8380" w:type="dxa"/>
            <w:tcBorders>
              <w:top w:val="nil"/>
              <w:left w:val="nil"/>
              <w:bottom w:val="single" w:sz="4"/>
              <w:right w:val="nil"/>
            </w:tcBorders>
          </w:tcPr>
          <w:p>
            <w:pPr>
              <w:pStyle w:val="0"/>
            </w:pPr>
            <w:r>
              <w:rPr>
                <w:sz w:val="20"/>
              </w:rPr>
            </w:r>
          </w:p>
        </w:tc>
        <w:tc>
          <w:tcPr>
            <w:tcW w:w="346" w:type="dxa"/>
            <w:tcBorders>
              <w:top w:val="nil"/>
              <w:left w:val="nil"/>
              <w:bottom w:val="nil"/>
              <w:right w:val="nil"/>
            </w:tcBorders>
          </w:tcPr>
          <w:p>
            <w:pPr>
              <w:pStyle w:val="0"/>
              <w:jc w:val="both"/>
            </w:pPr>
            <w:r>
              <w:rPr>
                <w:sz w:val="20"/>
              </w:rPr>
              <w:t xml:space="preserve">,</w:t>
            </w:r>
          </w:p>
        </w:tc>
      </w:tr>
      <w:tr>
        <w:tc>
          <w:tcPr>
            <w:gridSpan w:val="11"/>
            <w:tcW w:w="9066" w:type="dxa"/>
            <w:tcBorders>
              <w:top w:val="nil"/>
              <w:left w:val="nil"/>
              <w:bottom w:val="nil"/>
              <w:right w:val="nil"/>
            </w:tcBorders>
          </w:tcPr>
          <w:p>
            <w:pPr>
              <w:pStyle w:val="0"/>
              <w:jc w:val="center"/>
            </w:pPr>
            <w:r>
              <w:rPr>
                <w:sz w:val="20"/>
              </w:rPr>
              <w:t xml:space="preserve">(фамилия, имя, отчество)</w:t>
            </w:r>
          </w:p>
        </w:tc>
      </w:tr>
      <w:tr>
        <w:tc>
          <w:tcPr>
            <w:gridSpan w:val="6"/>
            <w:tcW w:w="4417" w:type="dxa"/>
            <w:tcBorders>
              <w:top w:val="nil"/>
              <w:left w:val="nil"/>
              <w:bottom w:val="nil"/>
              <w:right w:val="nil"/>
            </w:tcBorders>
          </w:tcPr>
          <w:p>
            <w:pPr>
              <w:pStyle w:val="0"/>
              <w:jc w:val="both"/>
            </w:pPr>
            <w:r>
              <w:rPr>
                <w:sz w:val="20"/>
              </w:rPr>
              <w:t xml:space="preserve">зарегистрированный(ная) по адресу:</w:t>
            </w:r>
          </w:p>
        </w:tc>
        <w:tc>
          <w:tcPr>
            <w:gridSpan w:val="5"/>
            <w:tcW w:w="4649" w:type="dxa"/>
            <w:tcBorders>
              <w:top w:val="nil"/>
              <w:left w:val="nil"/>
              <w:bottom w:val="single" w:sz="4"/>
              <w:right w:val="nil"/>
            </w:tcBorders>
          </w:tcPr>
          <w:p>
            <w:pPr>
              <w:pStyle w:val="0"/>
              <w:jc w:val="both"/>
            </w:pPr>
            <w:r>
              <w:rPr>
                <w:sz w:val="20"/>
              </w:rPr>
            </w:r>
          </w:p>
        </w:tc>
      </w:tr>
      <w:tr>
        <w:tc>
          <w:tcPr>
            <w:gridSpan w:val="11"/>
            <w:tcW w:w="9066" w:type="dxa"/>
            <w:tcBorders>
              <w:top w:val="nil"/>
              <w:left w:val="nil"/>
              <w:bottom w:val="single" w:sz="4"/>
              <w:right w:val="nil"/>
            </w:tcBorders>
          </w:tcPr>
          <w:p>
            <w:pPr>
              <w:pStyle w:val="0"/>
            </w:pPr>
            <w:r>
              <w:rPr>
                <w:sz w:val="20"/>
              </w:rPr>
            </w:r>
          </w:p>
        </w:tc>
      </w:tr>
      <w:tr>
        <w:tblPrEx>
          <w:tblBorders>
            <w:insideH w:val="single" w:sz="4"/>
          </w:tblBorders>
        </w:tblPrEx>
        <w:tc>
          <w:tcPr>
            <w:gridSpan w:val="10"/>
            <w:tcW w:w="8720" w:type="dxa"/>
            <w:tcBorders>
              <w:top w:val="single" w:sz="4"/>
              <w:left w:val="nil"/>
              <w:bottom w:val="single" w:sz="4"/>
              <w:right w:val="nil"/>
            </w:tcBorders>
          </w:tcPr>
          <w:p>
            <w:pPr>
              <w:pStyle w:val="0"/>
            </w:pPr>
            <w:r>
              <w:rPr>
                <w:sz w:val="20"/>
              </w:rPr>
            </w:r>
          </w:p>
        </w:tc>
        <w:tc>
          <w:tcPr>
            <w:tcW w:w="346" w:type="dxa"/>
            <w:tcBorders>
              <w:top w:val="single" w:sz="4"/>
              <w:left w:val="nil"/>
              <w:bottom w:val="nil"/>
              <w:right w:val="nil"/>
            </w:tcBorders>
          </w:tcPr>
          <w:p>
            <w:pPr>
              <w:pStyle w:val="0"/>
              <w:jc w:val="both"/>
            </w:pPr>
            <w:r>
              <w:rPr>
                <w:sz w:val="20"/>
              </w:rPr>
              <w:t xml:space="preserve">,</w:t>
            </w:r>
          </w:p>
        </w:tc>
      </w:tr>
      <w:tr>
        <w:tblPrEx>
          <w:tblBorders>
            <w:insideH w:val="single" w:sz="4"/>
          </w:tblBorders>
        </w:tblPrEx>
        <w:tc>
          <w:tcPr>
            <w:gridSpan w:val="2"/>
            <w:tcW w:w="1167" w:type="dxa"/>
            <w:tcBorders>
              <w:top w:val="single" w:sz="4"/>
              <w:left w:val="nil"/>
              <w:bottom w:val="nil"/>
              <w:right w:val="nil"/>
            </w:tcBorders>
          </w:tcPr>
          <w:p>
            <w:pPr>
              <w:pStyle w:val="0"/>
              <w:jc w:val="both"/>
            </w:pPr>
            <w:r>
              <w:rPr>
                <w:sz w:val="20"/>
              </w:rPr>
              <w:t xml:space="preserve">паспорт</w:t>
            </w:r>
          </w:p>
        </w:tc>
        <w:tc>
          <w:tcPr>
            <w:gridSpan w:val="2"/>
            <w:tcW w:w="1918" w:type="dxa"/>
            <w:tcBorders>
              <w:top w:val="single" w:sz="4"/>
              <w:left w:val="nil"/>
              <w:bottom w:val="single" w:sz="4"/>
              <w:right w:val="nil"/>
            </w:tcBorders>
          </w:tcPr>
          <w:p>
            <w:pPr>
              <w:pStyle w:val="0"/>
            </w:pPr>
            <w:r>
              <w:rPr>
                <w:sz w:val="20"/>
              </w:rPr>
            </w:r>
          </w:p>
        </w:tc>
        <w:tc>
          <w:tcPr>
            <w:gridSpan w:val="2"/>
            <w:tcW w:w="1332" w:type="dxa"/>
            <w:tcBorders>
              <w:top w:val="single" w:sz="4"/>
              <w:left w:val="nil"/>
              <w:bottom w:val="nil"/>
              <w:right w:val="nil"/>
            </w:tcBorders>
          </w:tcPr>
          <w:p>
            <w:pPr>
              <w:pStyle w:val="0"/>
              <w:jc w:val="both"/>
            </w:pPr>
            <w:r>
              <w:rPr>
                <w:sz w:val="20"/>
              </w:rPr>
              <w:t xml:space="preserve">выдан</w:t>
            </w:r>
          </w:p>
        </w:tc>
        <w:tc>
          <w:tcPr>
            <w:gridSpan w:val="2"/>
            <w:tcW w:w="1531" w:type="dxa"/>
            <w:tcBorders>
              <w:top w:val="single" w:sz="4"/>
              <w:left w:val="nil"/>
              <w:bottom w:val="single" w:sz="4"/>
              <w:right w:val="nil"/>
            </w:tcBorders>
          </w:tcPr>
          <w:p>
            <w:pPr>
              <w:pStyle w:val="0"/>
            </w:pPr>
            <w:r>
              <w:rPr>
                <w:sz w:val="20"/>
              </w:rPr>
            </w:r>
          </w:p>
        </w:tc>
        <w:tc>
          <w:tcPr>
            <w:tcW w:w="340" w:type="dxa"/>
            <w:tcBorders>
              <w:top w:val="single" w:sz="4"/>
              <w:left w:val="nil"/>
              <w:bottom w:val="nil"/>
              <w:right w:val="nil"/>
            </w:tcBorders>
          </w:tcPr>
          <w:p>
            <w:pPr>
              <w:pStyle w:val="0"/>
              <w:jc w:val="both"/>
            </w:pPr>
            <w:r>
              <w:rPr>
                <w:sz w:val="20"/>
              </w:rPr>
              <w:t xml:space="preserve">,</w:t>
            </w:r>
          </w:p>
        </w:tc>
        <w:tc>
          <w:tcPr>
            <w:gridSpan w:val="2"/>
            <w:tcW w:w="2778" w:type="dxa"/>
            <w:tcBorders>
              <w:top w:val="nil"/>
              <w:left w:val="nil"/>
              <w:bottom w:val="single" w:sz="4"/>
              <w:right w:val="nil"/>
            </w:tcBorders>
          </w:tcPr>
          <w:p>
            <w:pPr>
              <w:pStyle w:val="0"/>
            </w:pPr>
            <w:r>
              <w:rPr>
                <w:sz w:val="20"/>
              </w:rPr>
            </w:r>
          </w:p>
        </w:tc>
      </w:tr>
      <w:tr>
        <w:tc>
          <w:tcPr>
            <w:gridSpan w:val="2"/>
            <w:tcW w:w="1167" w:type="dxa"/>
            <w:tcBorders>
              <w:top w:val="nil"/>
              <w:left w:val="nil"/>
              <w:bottom w:val="nil"/>
              <w:right w:val="nil"/>
            </w:tcBorders>
          </w:tcPr>
          <w:p>
            <w:pPr>
              <w:pStyle w:val="0"/>
            </w:pPr>
            <w:r>
              <w:rPr>
                <w:sz w:val="20"/>
              </w:rPr>
            </w:r>
          </w:p>
        </w:tc>
        <w:tc>
          <w:tcPr>
            <w:gridSpan w:val="2"/>
            <w:tcW w:w="1918" w:type="dxa"/>
            <w:tcBorders>
              <w:top w:val="single" w:sz="4"/>
              <w:left w:val="nil"/>
              <w:bottom w:val="nil"/>
              <w:right w:val="nil"/>
            </w:tcBorders>
          </w:tcPr>
          <w:p>
            <w:pPr>
              <w:pStyle w:val="0"/>
              <w:jc w:val="center"/>
            </w:pPr>
            <w:r>
              <w:rPr>
                <w:sz w:val="20"/>
              </w:rPr>
              <w:t xml:space="preserve">(серия и номер)</w:t>
            </w:r>
          </w:p>
        </w:tc>
        <w:tc>
          <w:tcPr>
            <w:gridSpan w:val="2"/>
            <w:tcW w:w="1332" w:type="dxa"/>
            <w:tcBorders>
              <w:top w:val="nil"/>
              <w:left w:val="nil"/>
              <w:bottom w:val="nil"/>
              <w:right w:val="nil"/>
            </w:tcBorders>
          </w:tcPr>
          <w:p>
            <w:pPr>
              <w:pStyle w:val="0"/>
            </w:pPr>
            <w:r>
              <w:rPr>
                <w:sz w:val="20"/>
              </w:rPr>
            </w:r>
          </w:p>
        </w:tc>
        <w:tc>
          <w:tcPr>
            <w:gridSpan w:val="2"/>
            <w:tcW w:w="1531" w:type="dxa"/>
            <w:tcBorders>
              <w:top w:val="single" w:sz="4"/>
              <w:left w:val="nil"/>
              <w:bottom w:val="nil"/>
              <w:right w:val="nil"/>
            </w:tcBorders>
          </w:tcPr>
          <w:p>
            <w:pPr>
              <w:pStyle w:val="0"/>
              <w:jc w:val="center"/>
            </w:pPr>
            <w:r>
              <w:rPr>
                <w:sz w:val="20"/>
              </w:rPr>
              <w:t xml:space="preserve">(дата)</w:t>
            </w:r>
          </w:p>
        </w:tc>
        <w:tc>
          <w:tcPr>
            <w:tcW w:w="340" w:type="dxa"/>
            <w:tcBorders>
              <w:top w:val="nil"/>
              <w:left w:val="nil"/>
              <w:bottom w:val="nil"/>
              <w:right w:val="nil"/>
            </w:tcBorders>
          </w:tcPr>
          <w:p>
            <w:pPr>
              <w:pStyle w:val="0"/>
            </w:pPr>
            <w:r>
              <w:rPr>
                <w:sz w:val="20"/>
              </w:rPr>
            </w:r>
          </w:p>
        </w:tc>
        <w:tc>
          <w:tcPr>
            <w:gridSpan w:val="2"/>
            <w:tcW w:w="2778" w:type="dxa"/>
            <w:tcBorders>
              <w:top w:val="single" w:sz="4"/>
              <w:left w:val="nil"/>
              <w:bottom w:val="nil"/>
              <w:right w:val="nil"/>
            </w:tcBorders>
          </w:tcPr>
          <w:p>
            <w:pPr>
              <w:pStyle w:val="0"/>
              <w:jc w:val="center"/>
            </w:pPr>
            <w:r>
              <w:rPr>
                <w:sz w:val="20"/>
              </w:rPr>
              <w:t xml:space="preserve">(кем и когда выдан)</w:t>
            </w:r>
          </w:p>
        </w:tc>
      </w:tr>
      <w:tr>
        <w:tc>
          <w:tcPr>
            <w:gridSpan w:val="11"/>
            <w:tcW w:w="9066" w:type="dxa"/>
            <w:tcBorders>
              <w:top w:val="nil"/>
              <w:left w:val="nil"/>
              <w:bottom w:val="single" w:sz="4"/>
              <w:right w:val="nil"/>
            </w:tcBorders>
          </w:tcPr>
          <w:p>
            <w:pPr>
              <w:pStyle w:val="0"/>
            </w:pPr>
            <w:r>
              <w:rPr>
                <w:sz w:val="20"/>
              </w:rPr>
            </w:r>
          </w:p>
        </w:tc>
      </w:tr>
      <w:tr>
        <w:tc>
          <w:tcPr>
            <w:gridSpan w:val="11"/>
            <w:tcW w:w="9066" w:type="dxa"/>
            <w:tcBorders>
              <w:top w:val="single" w:sz="4"/>
              <w:left w:val="nil"/>
              <w:bottom w:val="nil"/>
              <w:right w:val="nil"/>
            </w:tcBorders>
          </w:tcPr>
          <w:p>
            <w:pPr>
              <w:pStyle w:val="0"/>
              <w:jc w:val="center"/>
            </w:pPr>
            <w:r>
              <w:rPr>
                <w:sz w:val="20"/>
              </w:rPr>
              <w:t xml:space="preserve">(кем и когда выдан)</w:t>
            </w:r>
          </w:p>
        </w:tc>
      </w:tr>
      <w:tr>
        <w:tc>
          <w:tcPr>
            <w:gridSpan w:val="11"/>
            <w:tcW w:w="9066" w:type="dxa"/>
            <w:tcBorders>
              <w:top w:val="nil"/>
              <w:left w:val="nil"/>
              <w:bottom w:val="nil"/>
              <w:right w:val="nil"/>
            </w:tcBorders>
          </w:tcPr>
          <w:p>
            <w:pPr>
              <w:pStyle w:val="0"/>
              <w:ind w:firstLine="283"/>
              <w:jc w:val="both"/>
            </w:pPr>
            <w:r>
              <w:rPr>
                <w:sz w:val="20"/>
              </w:rPr>
              <w:t xml:space="preserve">даю согласие оператору персональных данных - Тульской городской Думе (300041, г. Тула, пр. Ленина, д. 2) на обработку с целью рассмотрения вопроса о представлении меня к наградам Тульской городской Думы следующих категорий моих персональных данных:</w:t>
            </w:r>
          </w:p>
          <w:p>
            <w:pPr>
              <w:pStyle w:val="0"/>
              <w:ind w:firstLine="283"/>
              <w:jc w:val="both"/>
            </w:pPr>
            <w:r>
              <w:rPr>
                <w:sz w:val="20"/>
              </w:rPr>
              <w:t xml:space="preserve">фамилия, имя, отчество;</w:t>
            </w:r>
          </w:p>
          <w:p>
            <w:pPr>
              <w:pStyle w:val="0"/>
              <w:ind w:firstLine="283"/>
              <w:jc w:val="both"/>
            </w:pPr>
            <w:r>
              <w:rPr>
                <w:sz w:val="20"/>
              </w:rPr>
              <w:t xml:space="preserve">число, месяц, год рождения;</w:t>
            </w:r>
          </w:p>
          <w:p>
            <w:pPr>
              <w:pStyle w:val="0"/>
              <w:ind w:firstLine="283"/>
              <w:jc w:val="both"/>
            </w:pPr>
            <w:r>
              <w:rPr>
                <w:sz w:val="20"/>
              </w:rPr>
              <w:t xml:space="preserve">место рождения;</w:t>
            </w:r>
          </w:p>
          <w:p>
            <w:pPr>
              <w:pStyle w:val="0"/>
              <w:ind w:firstLine="283"/>
              <w:jc w:val="both"/>
            </w:pPr>
            <w:r>
              <w:rPr>
                <w:sz w:val="20"/>
              </w:rPr>
              <w:t xml:space="preserve">сведения о занимаемой должности;</w:t>
            </w:r>
          </w:p>
          <w:p>
            <w:pPr>
              <w:pStyle w:val="0"/>
              <w:ind w:firstLine="283"/>
              <w:jc w:val="both"/>
            </w:pPr>
            <w:r>
              <w:rPr>
                <w:sz w:val="20"/>
              </w:rPr>
              <w:t xml:space="preserve">место работы;</w:t>
            </w:r>
          </w:p>
          <w:p>
            <w:pPr>
              <w:pStyle w:val="0"/>
              <w:ind w:firstLine="283"/>
              <w:jc w:val="both"/>
            </w:pPr>
            <w:r>
              <w:rPr>
                <w:sz w:val="20"/>
              </w:rPr>
              <w:t xml:space="preserve">вид, серия, номер документа, удостоверяющего личность, наименование органа, выдавшего его, дата выдачи;</w:t>
            </w:r>
          </w:p>
          <w:p>
            <w:pPr>
              <w:pStyle w:val="0"/>
              <w:ind w:firstLine="283"/>
              <w:jc w:val="both"/>
            </w:pPr>
            <w:r>
              <w:rPr>
                <w:sz w:val="20"/>
              </w:rPr>
              <w:t xml:space="preserve">адрес места жительства (адрес регистрации, фактического проживания);</w:t>
            </w:r>
          </w:p>
          <w:p>
            <w:pPr>
              <w:pStyle w:val="0"/>
              <w:ind w:firstLine="283"/>
              <w:jc w:val="both"/>
            </w:pPr>
            <w:r>
              <w:rPr>
                <w:sz w:val="20"/>
              </w:rPr>
              <w:t xml:space="preserve">номер контактного телефона или сведения о других способах связи;</w:t>
            </w:r>
          </w:p>
          <w:p>
            <w:pPr>
              <w:pStyle w:val="0"/>
              <w:ind w:firstLine="283"/>
              <w:jc w:val="both"/>
            </w:pPr>
            <w:r>
              <w:rPr>
                <w:sz w:val="20"/>
              </w:rPr>
              <w:t xml:space="preserve">сведения об образовании;</w:t>
            </w:r>
          </w:p>
          <w:p>
            <w:pPr>
              <w:pStyle w:val="0"/>
              <w:ind w:firstLine="283"/>
              <w:jc w:val="both"/>
            </w:pPr>
            <w:r>
              <w:rPr>
                <w:sz w:val="20"/>
              </w:rPr>
              <w:t xml:space="preserve">сведения об ученой степени, ученом звании;</w:t>
            </w:r>
          </w:p>
          <w:p>
            <w:pPr>
              <w:pStyle w:val="0"/>
              <w:ind w:firstLine="283"/>
              <w:jc w:val="both"/>
            </w:pPr>
            <w:r>
              <w:rPr>
                <w:sz w:val="20"/>
              </w:rPr>
              <w:t xml:space="preserve">сведения о государственных наградах, ведомственных наградах и региональных наградах;</w:t>
            </w:r>
          </w:p>
          <w:p>
            <w:pPr>
              <w:pStyle w:val="0"/>
              <w:ind w:firstLine="283"/>
              <w:jc w:val="both"/>
            </w:pPr>
            <w:r>
              <w:rPr>
                <w:sz w:val="20"/>
              </w:rPr>
              <w:t xml:space="preserve">сведения о служебной (трудовой) деятельности;</w:t>
            </w:r>
          </w:p>
          <w:p>
            <w:pPr>
              <w:pStyle w:val="0"/>
              <w:ind w:firstLine="283"/>
              <w:jc w:val="both"/>
            </w:pPr>
            <w:r>
              <w:rPr>
                <w:sz w:val="20"/>
              </w:rPr>
              <w:t xml:space="preserve">характеристика с указанием конкретных заслуг.</w:t>
            </w:r>
          </w:p>
        </w:tc>
      </w:tr>
      <w:tr>
        <w:tc>
          <w:tcPr>
            <w:gridSpan w:val="11"/>
            <w:tcW w:w="9066" w:type="dxa"/>
            <w:tcBorders>
              <w:top w:val="nil"/>
              <w:left w:val="nil"/>
              <w:bottom w:val="nil"/>
              <w:right w:val="nil"/>
            </w:tcBorders>
          </w:tcPr>
          <w:p>
            <w:pPr>
              <w:pStyle w:val="0"/>
              <w:ind w:firstLine="283"/>
              <w:jc w:val="both"/>
            </w:pPr>
            <w:r>
              <w:rPr>
                <w:sz w:val="20"/>
              </w:rPr>
              <w:t xml:space="preserve">Перечень действий с персональными данными, на совершение которых дается согласие:</w:t>
            </w:r>
          </w:p>
          <w:p>
            <w:pPr>
              <w:pStyle w:val="0"/>
              <w:ind w:firstLine="283"/>
              <w:jc w:val="both"/>
            </w:pPr>
            <w:r>
              <w:rPr>
                <w:sz w:val="20"/>
              </w:rPr>
              <w:t xml:space="preserve">сбор, накопление, извлечение, запись, хранение, использование, систематизация, уточнение (обновление, изменение), блокирование, удаление, передача (доступ), уничтожение.</w:t>
            </w:r>
          </w:p>
          <w:p>
            <w:pPr>
              <w:pStyle w:val="0"/>
              <w:ind w:firstLine="283"/>
              <w:jc w:val="both"/>
            </w:pPr>
            <w:r>
              <w:rPr>
                <w:sz w:val="20"/>
              </w:rPr>
              <w:t xml:space="preserve">Настоящее согласие на обработку персональных данных действует со дня его подписания в течение всего срока, которого требуют цели обработки персональных данных. После награждения все вышеперечисленные сведения направляются в архивные подразделения для хранения в течение сроков, предусмотренных законодательством Российской Федерации.</w:t>
            </w:r>
          </w:p>
          <w:p>
            <w:pPr>
              <w:pStyle w:val="0"/>
              <w:ind w:firstLine="283"/>
              <w:jc w:val="both"/>
            </w:pPr>
            <w:r>
              <w:rPr>
                <w:sz w:val="20"/>
              </w:rPr>
              <w:t xml:space="preserve">Отзыв согласия может быть осуществлен в письменном виде в адрес оператора персональных данных.</w:t>
            </w:r>
          </w:p>
        </w:tc>
      </w:tr>
      <w:tr>
        <w:tc>
          <w:tcPr>
            <w:tcW w:w="340" w:type="dxa"/>
            <w:tcBorders>
              <w:top w:val="nil"/>
              <w:left w:val="nil"/>
              <w:bottom w:val="nil"/>
              <w:right w:val="nil"/>
            </w:tcBorders>
          </w:tcPr>
          <w:p>
            <w:pPr>
              <w:pStyle w:val="0"/>
              <w:jc w:val="center"/>
            </w:pPr>
            <w:r>
              <w:rPr>
                <w:sz w:val="20"/>
              </w:rPr>
              <w:t xml:space="preserve">"</w:t>
            </w:r>
          </w:p>
        </w:tc>
        <w:tc>
          <w:tcPr>
            <w:tcW w:w="82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center"/>
            </w:pPr>
            <w:r>
              <w:rPr>
                <w:sz w:val="20"/>
              </w:rPr>
              <w:t xml:space="preserve">"</w:t>
            </w:r>
          </w:p>
        </w:tc>
        <w:tc>
          <w:tcPr>
            <w:tcW w:w="1578" w:type="dxa"/>
            <w:tcBorders>
              <w:top w:val="nil"/>
              <w:left w:val="nil"/>
              <w:bottom w:val="single" w:sz="4"/>
              <w:right w:val="nil"/>
            </w:tcBorders>
          </w:tcPr>
          <w:p>
            <w:pPr>
              <w:pStyle w:val="0"/>
            </w:pPr>
            <w:r>
              <w:rPr>
                <w:sz w:val="20"/>
              </w:rPr>
            </w:r>
          </w:p>
        </w:tc>
        <w:tc>
          <w:tcPr>
            <w:tcW w:w="487" w:type="dxa"/>
            <w:tcBorders>
              <w:top w:val="nil"/>
              <w:left w:val="nil"/>
              <w:bottom w:val="nil"/>
              <w:right w:val="nil"/>
            </w:tcBorders>
          </w:tcPr>
          <w:p>
            <w:pPr>
              <w:pStyle w:val="0"/>
              <w:jc w:val="both"/>
            </w:pPr>
            <w:r>
              <w:rPr>
                <w:sz w:val="20"/>
              </w:rPr>
              <w:t xml:space="preserve">20</w:t>
            </w:r>
          </w:p>
        </w:tc>
        <w:tc>
          <w:tcPr>
            <w:tcW w:w="84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г.</w:t>
            </w:r>
          </w:p>
        </w:tc>
        <w:tc>
          <w:tcPr>
            <w:tcW w:w="119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778" w:type="dxa"/>
            <w:tcBorders>
              <w:top w:val="nil"/>
              <w:left w:val="nil"/>
              <w:bottom w:val="single" w:sz="4"/>
              <w:right w:val="nil"/>
            </w:tcBorders>
          </w:tcPr>
          <w:p>
            <w:pPr>
              <w:pStyle w:val="0"/>
            </w:pPr>
            <w:r>
              <w:rPr>
                <w:sz w:val="20"/>
              </w:rPr>
            </w:r>
          </w:p>
        </w:tc>
      </w:tr>
      <w:tr>
        <w:tc>
          <w:tcPr>
            <w:gridSpan w:val="6"/>
            <w:tcW w:w="4417" w:type="dxa"/>
            <w:tcBorders>
              <w:top w:val="nil"/>
              <w:left w:val="nil"/>
              <w:bottom w:val="nil"/>
              <w:right w:val="nil"/>
            </w:tcBorders>
          </w:tcPr>
          <w:p>
            <w:pPr>
              <w:pStyle w:val="0"/>
              <w:jc w:val="center"/>
            </w:pPr>
            <w:r>
              <w:rPr>
                <w:sz w:val="20"/>
              </w:rPr>
              <w:t xml:space="preserve">(дата)</w:t>
            </w:r>
          </w:p>
        </w:tc>
        <w:tc>
          <w:tcPr>
            <w:tcW w:w="340" w:type="dxa"/>
            <w:tcBorders>
              <w:top w:val="nil"/>
              <w:left w:val="nil"/>
              <w:bottom w:val="nil"/>
              <w:right w:val="nil"/>
            </w:tcBorders>
          </w:tcPr>
          <w:p>
            <w:pPr>
              <w:pStyle w:val="0"/>
            </w:pPr>
            <w:r>
              <w:rPr>
                <w:sz w:val="20"/>
              </w:rPr>
            </w:r>
          </w:p>
        </w:tc>
        <w:tc>
          <w:tcPr>
            <w:tcW w:w="1191"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2778" w:type="dxa"/>
            <w:tcBorders>
              <w:top w:val="single" w:sz="4"/>
              <w:left w:val="nil"/>
              <w:bottom w:val="nil"/>
              <w:right w:val="nil"/>
            </w:tcBorders>
          </w:tcPr>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Тульской городской Думы от 27.02.2013 N 58/1271</w:t>
            <w:br/>
            <w:t>(ред. от 27.03.2024)</w:t>
            <w:br/>
            <w:t>"О Положении "О Благодарности Тульской горо...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67&amp;n=79453&amp;dst=100005" TargetMode = "External"/>
	<Relationship Id="rId8" Type="http://schemas.openxmlformats.org/officeDocument/2006/relationships/hyperlink" Target="https://login.consultant.ru/link/?req=doc&amp;base=RLAW067&amp;n=115519&amp;dst=100015" TargetMode = "External"/>
	<Relationship Id="rId9" Type="http://schemas.openxmlformats.org/officeDocument/2006/relationships/hyperlink" Target="https://login.consultant.ru/link/?req=doc&amp;base=RLAW067&amp;n=118212&amp;dst=100007" TargetMode = "External"/>
	<Relationship Id="rId10" Type="http://schemas.openxmlformats.org/officeDocument/2006/relationships/hyperlink" Target="https://login.consultant.ru/link/?req=doc&amp;base=RLAW067&amp;n=123683&amp;dst=100022" TargetMode = "External"/>
	<Relationship Id="rId11" Type="http://schemas.openxmlformats.org/officeDocument/2006/relationships/hyperlink" Target="https://login.consultant.ru/link/?req=doc&amp;base=RLAW067&amp;n=132874&amp;dst=100005" TargetMode = "External"/>
	<Relationship Id="rId12" Type="http://schemas.openxmlformats.org/officeDocument/2006/relationships/hyperlink" Target="https://login.consultant.ru/link/?req=doc&amp;base=LAW&amp;n=472832" TargetMode = "External"/>
	<Relationship Id="rId13" Type="http://schemas.openxmlformats.org/officeDocument/2006/relationships/hyperlink" Target="https://login.consultant.ru/link/?req=doc&amp;base=RLAW067&amp;n=132601" TargetMode = "External"/>
	<Relationship Id="rId14" Type="http://schemas.openxmlformats.org/officeDocument/2006/relationships/hyperlink" Target="https://login.consultant.ru/link/?req=doc&amp;base=RLAW067&amp;n=27349" TargetMode = "External"/>
	<Relationship Id="rId15" Type="http://schemas.openxmlformats.org/officeDocument/2006/relationships/hyperlink" Target="https://login.consultant.ru/link/?req=doc&amp;base=RLAW067&amp;n=8114" TargetMode = "External"/>
	<Relationship Id="rId16" Type="http://schemas.openxmlformats.org/officeDocument/2006/relationships/hyperlink" Target="https://login.consultant.ru/link/?req=doc&amp;base=RLAW067&amp;n=27329" TargetMode = "External"/>
	<Relationship Id="rId17" Type="http://schemas.openxmlformats.org/officeDocument/2006/relationships/hyperlink" Target="https://login.consultant.ru/link/?req=doc&amp;base=RLAW067&amp;n=79453&amp;dst=100005" TargetMode = "External"/>
	<Relationship Id="rId18" Type="http://schemas.openxmlformats.org/officeDocument/2006/relationships/hyperlink" Target="https://login.consultant.ru/link/?req=doc&amp;base=RLAW067&amp;n=115519&amp;dst=100015" TargetMode = "External"/>
	<Relationship Id="rId19" Type="http://schemas.openxmlformats.org/officeDocument/2006/relationships/hyperlink" Target="https://login.consultant.ru/link/?req=doc&amp;base=RLAW067&amp;n=118212&amp;dst=100007" TargetMode = "External"/>
	<Relationship Id="rId20" Type="http://schemas.openxmlformats.org/officeDocument/2006/relationships/hyperlink" Target="https://login.consultant.ru/link/?req=doc&amp;base=RLAW067&amp;n=123683&amp;dst=100022" TargetMode = "External"/>
	<Relationship Id="rId21" Type="http://schemas.openxmlformats.org/officeDocument/2006/relationships/hyperlink" Target="https://login.consultant.ru/link/?req=doc&amp;base=RLAW067&amp;n=132874&amp;dst=100005" TargetMode = "External"/>
	<Relationship Id="rId22" Type="http://schemas.openxmlformats.org/officeDocument/2006/relationships/hyperlink" Target="https://login.consultant.ru/link/?req=doc&amp;base=RLAW067&amp;n=79453&amp;dst=100007" TargetMode = "External"/>
	<Relationship Id="rId23" Type="http://schemas.openxmlformats.org/officeDocument/2006/relationships/hyperlink" Target="https://login.consultant.ru/link/?req=doc&amp;base=RLAW067&amp;n=79453&amp;dst=100008" TargetMode = "External"/>
	<Relationship Id="rId24" Type="http://schemas.openxmlformats.org/officeDocument/2006/relationships/hyperlink" Target="https://login.consultant.ru/link/?req=doc&amp;base=RLAW067&amp;n=123683&amp;dst=100023" TargetMode = "External"/>
	<Relationship Id="rId25" Type="http://schemas.openxmlformats.org/officeDocument/2006/relationships/hyperlink" Target="https://login.consultant.ru/link/?req=doc&amp;base=RLAW067&amp;n=79453&amp;dst=100010" TargetMode = "External"/>
	<Relationship Id="rId26" Type="http://schemas.openxmlformats.org/officeDocument/2006/relationships/hyperlink" Target="https://login.consultant.ru/link/?req=doc&amp;base=RLAW067&amp;n=115519&amp;dst=100015" TargetMode = "External"/>
	<Relationship Id="rId27" Type="http://schemas.openxmlformats.org/officeDocument/2006/relationships/hyperlink" Target="https://login.consultant.ru/link/?req=doc&amp;base=RLAW067&amp;n=132874&amp;dst=100005" TargetMode = "External"/>
	<Relationship Id="rId28" Type="http://schemas.openxmlformats.org/officeDocument/2006/relationships/hyperlink" Target="https://login.consultant.ru/link/?req=doc&amp;base=RLAW067&amp;n=118212&amp;dst=100007" TargetMode = "External"/>
	<Relationship Id="rId29" Type="http://schemas.openxmlformats.org/officeDocument/2006/relationships/hyperlink" Target="https://login.consultant.ru/link/?req=doc&amp;base=RLAW067&amp;n=123683&amp;dst=10002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Тульской городской Думы от 27.02.2013 N 58/1271
(ред. от 27.03.2024)
"О Положении "О Благодарности Тульской городской Думы"</dc:title>
  <dcterms:created xsi:type="dcterms:W3CDTF">2024-04-15T06:49:23Z</dcterms:created>
</cp:coreProperties>
</file>